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Default="00BB2589">
      <w:pPr>
        <w:pStyle w:val="a3"/>
        <w:wordWrap/>
        <w:spacing w:line="672" w:lineRule="auto"/>
        <w:jc w:val="center"/>
      </w:pPr>
      <w:r>
        <w:rPr>
          <w:rFonts w:ascii="바탕체" w:eastAsia="바탕체"/>
          <w:sz w:val="24"/>
        </w:rPr>
        <w:t>【</w:t>
      </w:r>
      <w:r w:rsidR="002E3C54">
        <w:rPr>
          <w:rFonts w:ascii="바탕체" w:eastAsia="바탕체" w:hint="eastAsia"/>
          <w:sz w:val="24"/>
        </w:rPr>
        <w:t>명세서</w:t>
      </w:r>
      <w:r>
        <w:rPr>
          <w:rFonts w:ascii="바탕체"/>
          <w:sz w:val="24"/>
        </w:rPr>
        <w:t>】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【발명의 명칭</w:t>
      </w:r>
      <w:r>
        <w:rPr>
          <w:rFonts w:ascii="바탕체"/>
          <w:sz w:val="24"/>
        </w:rPr>
        <w:t>】</w:t>
      </w:r>
    </w:p>
    <w:p w:rsidR="00DC179C" w:rsidRDefault="0032198D">
      <w:pPr>
        <w:pStyle w:val="a3"/>
        <w:spacing w:line="672" w:lineRule="auto"/>
        <w:ind w:firstLine="600"/>
      </w:pPr>
      <w:proofErr w:type="spellStart"/>
      <w:r w:rsidRPr="004D30D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2상조직을 갖는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주조재의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방법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【기술분야】</w:t>
      </w:r>
    </w:p>
    <w:p w:rsidR="00DC179C" w:rsidRDefault="0032198D">
      <w:pPr>
        <w:pStyle w:val="a3"/>
        <w:spacing w:line="672" w:lineRule="auto"/>
        <w:ind w:firstLine="600"/>
      </w:pPr>
      <w:r w:rsidRPr="002321C6">
        <w:rPr>
          <w:rFonts w:ascii="바탕체" w:eastAsia="바탕체" w:hAnsi="바탕체"/>
          <w:sz w:val="24"/>
          <w:szCs w:val="24"/>
        </w:rPr>
        <w:t xml:space="preserve">본 발명은 선박, 석유화학 그리고 발전설비 등 높은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내식성을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요구하는 부품에 이용되는 2507급 슈퍼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방법에 관한 것으로, 보다 상세하게는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이상조직을 갖는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잉곳이나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불룸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그리고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연주빌렛을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열간성형하여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특정 부품으로 제조하는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방법에 관한 것이다.</w:t>
      </w:r>
    </w:p>
    <w:p w:rsidR="0032198D" w:rsidRDefault="00877418" w:rsidP="0032198D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【배경기술】</w:t>
      </w:r>
    </w:p>
    <w:p w:rsidR="0032198D" w:rsidRPr="002321C6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321C6">
        <w:rPr>
          <w:rFonts w:ascii="바탕체" w:eastAsia="바탕체" w:hAnsi="바탕체"/>
          <w:sz w:val="24"/>
          <w:szCs w:val="24"/>
        </w:rPr>
        <w:t xml:space="preserve">일반적으로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내산화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및 내부식성을 요구하는 산업용 설비 구조물과 부품을 제조하는 기본 소재로 널리 사용되고 있다. 특히 2507급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강도가 우수하고 우수한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내식성을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보유함으로써 탈황설비나 유체이송용 파이프라인용 재료로 많이 이용되고 있다. 특히 최근에는 생산효율이 높아져 이송되는 양이 많아졌을 뿐만 아니라 재료를 부식시키는 정도를 더욱 심화시키는 화</w:t>
      </w:r>
      <w:r w:rsidRPr="002321C6">
        <w:rPr>
          <w:rFonts w:ascii="바탕체" w:eastAsia="바탕체" w:hAnsi="바탕체"/>
          <w:sz w:val="24"/>
          <w:szCs w:val="24"/>
        </w:rPr>
        <w:lastRenderedPageBreak/>
        <w:t xml:space="preserve">학혼합물이 이송되는 경향이 많아졌다. 그러므로, 일반 304 또는 316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스테인레스강보다도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내식성이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매우 우수한 2507급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이용이 요망되나, 상기 2507급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질소(N)와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안정화 원소인 크롬,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몰리브덴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및 텅스텐 함유량이 높아서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성형성이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열악하므로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열간단조에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의한 부품성형이 어렵다는 단점이 있다.</w:t>
      </w:r>
    </w:p>
    <w:p w:rsidR="0032198D" w:rsidRPr="006B05F3" w:rsidRDefault="0032198D" w:rsidP="0032198D">
      <w:pPr>
        <w:pStyle w:val="a3"/>
        <w:spacing w:line="672" w:lineRule="auto"/>
        <w:ind w:firstLine="600"/>
      </w:pPr>
      <w:r w:rsidRPr="002321C6">
        <w:rPr>
          <w:rFonts w:ascii="바탕체" w:eastAsia="바탕체" w:hAnsi="바탕체"/>
          <w:sz w:val="24"/>
          <w:szCs w:val="24"/>
        </w:rPr>
        <w:t xml:space="preserve">상기 2507급 슈퍼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약 40~60%의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페라이트상과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나머지는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오스테나이트상으로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구성된 2상조직을 가지고 있다. 또한, 2507급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오스테나이트간의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변형구배로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인하여 상대적으로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스텐레스강에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비해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열간가공성이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열악하다는 단점이 있다. 특히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페라이트와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오스테나이트상간의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변형량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차이에 의해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상경계에서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균열이 발생하는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디라미네이션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(Delamination)과 같은 현상이 발생하는 경우가 많다.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 xml:space="preserve">【발명의 </w:t>
      </w:r>
      <w:r w:rsidR="006B05F3">
        <w:rPr>
          <w:rFonts w:ascii="바탕체" w:eastAsia="바탕체" w:hint="eastAsia"/>
          <w:sz w:val="24"/>
        </w:rPr>
        <w:t>상세한 설명</w:t>
      </w:r>
      <w:r>
        <w:rPr>
          <w:rFonts w:ascii="바탕체"/>
          <w:sz w:val="24"/>
        </w:rPr>
        <w:t>】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</w:t>
      </w:r>
      <w:r w:rsidR="006B05F3">
        <w:rPr>
          <w:rFonts w:ascii="바탕체" w:eastAsia="바탕체" w:hint="eastAsia"/>
          <w:sz w:val="24"/>
        </w:rPr>
        <w:t>기술적 과제</w:t>
      </w:r>
      <w:r w:rsidR="00877418">
        <w:rPr>
          <w:rFonts w:ascii="바탕체" w:eastAsia="바탕체"/>
          <w:sz w:val="24"/>
        </w:rPr>
        <w:t>】</w:t>
      </w:r>
    </w:p>
    <w:p w:rsidR="00DC179C" w:rsidRPr="006B05F3" w:rsidRDefault="0032198D">
      <w:pPr>
        <w:pStyle w:val="a3"/>
        <w:spacing w:line="672" w:lineRule="auto"/>
        <w:ind w:firstLine="600"/>
      </w:pPr>
      <w:r w:rsidRPr="002321C6">
        <w:rPr>
          <w:rFonts w:ascii="바탕체" w:eastAsia="바탕체" w:hAnsi="바탕체"/>
          <w:sz w:val="24"/>
          <w:szCs w:val="24"/>
        </w:rPr>
        <w:t xml:space="preserve">본 발명은 상기 종래기술의 문제점을 해결하기 위한 것으로, 최적의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열간가공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영역을 설정함과 아울러 안정된 가공이 가능한 영역을 도출함에 의하여 상기 2507</w:t>
      </w:r>
      <w:r w:rsidRPr="002321C6">
        <w:rPr>
          <w:rFonts w:ascii="바탕체" w:eastAsia="바탕체" w:hAnsi="바탕체"/>
          <w:sz w:val="24"/>
          <w:szCs w:val="24"/>
        </w:rPr>
        <w:lastRenderedPageBreak/>
        <w:t xml:space="preserve">급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스테인레스강의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열간가공성을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향상시키는데, 그 목적이 있다.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</w:t>
      </w:r>
      <w:r w:rsidR="006B05F3">
        <w:rPr>
          <w:rFonts w:ascii="바탕체" w:eastAsia="바탕체" w:hint="eastAsia"/>
          <w:sz w:val="24"/>
        </w:rPr>
        <w:t>기술적 해결방법</w:t>
      </w:r>
      <w:r w:rsidR="00877418">
        <w:rPr>
          <w:rFonts w:ascii="바탕체" w:eastAsia="바탕체"/>
          <w:sz w:val="24"/>
        </w:rPr>
        <w:t>】</w:t>
      </w:r>
    </w:p>
    <w:p w:rsidR="0032198D" w:rsidRPr="002321C6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321C6">
        <w:rPr>
          <w:rFonts w:ascii="바탕체" w:eastAsia="바탕체" w:hAnsi="바탕체"/>
          <w:sz w:val="24"/>
          <w:szCs w:val="24"/>
        </w:rPr>
        <w:t xml:space="preserve">상기 목적을 달성하기 위한 본 발명은, 중량%로, C: 0.03% 이하, Si: 0.8% 이하,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Mn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: 1.2% 이하, Ni: 6.0~8.0%, Cr: 24.0~26.0%, Mo: 3.0~5.0%, N: 0.24~0.32%, 나머지 Fe 및 기타 불가피한 불순물로 조성되는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이상조직을 갖는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주조재를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1200~1250℃로 가열한 후에 1150℃로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냉각될때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까지는 3s</w:t>
      </w:r>
      <w:r w:rsidRPr="002321C6">
        <w:rPr>
          <w:rFonts w:ascii="바탕체" w:eastAsia="바탕체" w:hAnsi="바탕체"/>
          <w:sz w:val="24"/>
          <w:szCs w:val="24"/>
          <w:vertAlign w:val="superscript"/>
        </w:rPr>
        <w:t xml:space="preserve">-1 </w:t>
      </w:r>
      <w:r w:rsidRPr="002321C6">
        <w:rPr>
          <w:rFonts w:ascii="바탕체" w:eastAsia="바탕체" w:hAnsi="바탕체"/>
          <w:sz w:val="24"/>
          <w:szCs w:val="24"/>
        </w:rPr>
        <w:t xml:space="preserve">이하의 성형속도로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프레스하고, 1100℃로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냉각될때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까지는 2s</w:t>
      </w:r>
      <w:r w:rsidRPr="002321C6">
        <w:rPr>
          <w:rFonts w:ascii="바탕체" w:eastAsia="바탕체" w:hAnsi="바탕체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sz w:val="24"/>
          <w:szCs w:val="24"/>
        </w:rPr>
        <w:t xml:space="preserve"> 이하의 성형속도로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프레스하며, 1050℃로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냉각될때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까지는 1s</w:t>
      </w:r>
      <w:r w:rsidRPr="002321C6">
        <w:rPr>
          <w:rFonts w:ascii="바탕체" w:eastAsia="바탕체" w:hAnsi="바탕체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sz w:val="24"/>
          <w:szCs w:val="24"/>
        </w:rPr>
        <w:t xml:space="preserve"> 이하의 성형속도로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프레스하는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것을 특징으로 하는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2상조직을 갖는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주조재의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방법에 관한 것이다.</w:t>
      </w:r>
    </w:p>
    <w:p w:rsidR="0032198D" w:rsidRPr="002321C6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321C6">
        <w:rPr>
          <w:rFonts w:ascii="바탕체" w:eastAsia="바탕체" w:hAnsi="바탕체"/>
          <w:sz w:val="24"/>
          <w:szCs w:val="24"/>
        </w:rPr>
        <w:t>이하, 본 발명을 상세하게 설명한다.</w:t>
      </w:r>
    </w:p>
    <w:p w:rsidR="0032198D" w:rsidRPr="002321C6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321C6">
        <w:rPr>
          <w:rFonts w:ascii="바탕체" w:eastAsia="바탕체" w:hAnsi="바탕체"/>
          <w:sz w:val="24"/>
          <w:szCs w:val="24"/>
        </w:rPr>
        <w:t xml:space="preserve">본 발명은 통상적인 2507급의 슈퍼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(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2상조직을 갖는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)을 이용하면 되며, 중량%로, C: 0.03% 이하, Si: 0.8% 이하,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Mn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>: 1.2% 이하, Ni: 6.0~8.0%, Cr: 24.0~26.0%, Mo: 3.0~5.0%, N: 0.24~0.32%, 나머지 Fe 및 기타 불가피한 불순물로 조성된다.</w:t>
      </w:r>
    </w:p>
    <w:p w:rsidR="0032198D" w:rsidRPr="002321C6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321C6">
        <w:rPr>
          <w:rFonts w:ascii="바탕체" w:eastAsia="바탕체" w:hAnsi="바탕체"/>
          <w:sz w:val="24"/>
          <w:szCs w:val="24"/>
        </w:rPr>
        <w:lastRenderedPageBreak/>
        <w:t xml:space="preserve">본 발명에서는 먼저 2507급 슈퍼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스테인레스강에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가해준 파워가 얼마나 재료의 미세조직 변화에 사용되었는지를 먼저 평가하고자 하였다.</w:t>
      </w:r>
    </w:p>
    <w:p w:rsidR="0032198D" w:rsidRPr="002321C6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321C6">
        <w:rPr>
          <w:rFonts w:ascii="바탕체" w:eastAsia="바탕체" w:hAnsi="바탕체"/>
          <w:sz w:val="24"/>
          <w:szCs w:val="24"/>
        </w:rPr>
        <w:t xml:space="preserve">하기 수학식 1의 η는 외부에서 가해준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파워중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미세조직 변화에 사용된 양을 나타내는 파워분산 효율인자로써,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속도 민감도(m)의 함수로 나타낼 수 있다. 상기 파워분산 효율인자의 값이 클수록 미세조직 변화에 소모된 파워의 </w:t>
      </w:r>
      <w:proofErr w:type="spellStart"/>
      <w:r w:rsidRPr="002321C6">
        <w:rPr>
          <w:rFonts w:ascii="바탕체" w:eastAsia="바탕체" w:hAnsi="바탕체"/>
          <w:sz w:val="24"/>
          <w:szCs w:val="24"/>
        </w:rPr>
        <w:t>분률이</w:t>
      </w:r>
      <w:proofErr w:type="spellEnd"/>
      <w:r w:rsidRPr="002321C6">
        <w:rPr>
          <w:rFonts w:ascii="바탕체" w:eastAsia="바탕체" w:hAnsi="바탕체"/>
          <w:sz w:val="24"/>
          <w:szCs w:val="24"/>
        </w:rPr>
        <w:t xml:space="preserve"> 높음을 나타낸다.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>[수학식 1]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>η = 2m</w:t>
      </w:r>
      <w:proofErr w:type="gramStart"/>
      <w:r w:rsidRPr="002321C6">
        <w:rPr>
          <w:rFonts w:ascii="바탕체" w:eastAsia="바탕체" w:hAnsi="바탕체"/>
          <w:kern w:val="0"/>
          <w:sz w:val="24"/>
          <w:szCs w:val="24"/>
        </w:rPr>
        <w:t>/(</w:t>
      </w:r>
      <w:proofErr w:type="gramEnd"/>
      <w:r w:rsidRPr="002321C6">
        <w:rPr>
          <w:rFonts w:ascii="바탕체" w:eastAsia="바탕체" w:hAnsi="바탕체"/>
          <w:kern w:val="0"/>
          <w:sz w:val="24"/>
          <w:szCs w:val="24"/>
        </w:rPr>
        <w:t>m+1)</w:t>
      </w:r>
    </w:p>
    <w:p w:rsidR="0032198D" w:rsidRPr="004D30D6" w:rsidRDefault="0032198D" w:rsidP="0032198D">
      <w:pPr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4D30D6">
        <w:rPr>
          <w:rFonts w:ascii="바탕체" w:eastAsia="바탕체" w:hAnsi="바탕체"/>
          <w:kern w:val="0"/>
          <w:sz w:val="24"/>
          <w:szCs w:val="24"/>
        </w:rPr>
        <w:t xml:space="preserve">또한, </w:t>
      </w:r>
      <w:proofErr w:type="spellStart"/>
      <w:r w:rsidRPr="004D30D6">
        <w:rPr>
          <w:rFonts w:ascii="바탕체" w:eastAsia="바탕체" w:hAnsi="바탕체"/>
          <w:kern w:val="0"/>
          <w:sz w:val="24"/>
          <w:szCs w:val="24"/>
        </w:rPr>
        <w:t>소성변형시</w:t>
      </w:r>
      <w:proofErr w:type="spellEnd"/>
      <w:r w:rsidRPr="004D30D6">
        <w:rPr>
          <w:rFonts w:ascii="바탕체" w:eastAsia="바탕체" w:hAnsi="바탕체"/>
          <w:kern w:val="0"/>
          <w:sz w:val="24"/>
          <w:szCs w:val="24"/>
        </w:rPr>
        <w:t xml:space="preserve"> 재료유동의 안정성을 평가할 수 있는 소성변형 불안정인자 ζ(ε)는 하기 수학식 2와 같이 주어지며, 그 값이 음수로 나타나면 소성변형이 불안정해지는 영역을 나타낸다.</w:t>
      </w:r>
      <w:r w:rsidRPr="004D30D6">
        <w:rPr>
          <w:rFonts w:ascii="바탕체" w:eastAsia="바탕체" w:hAnsi="바탕체"/>
        </w:rPr>
        <w:t xml:space="preserve"> 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>[수학식 2]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proofErr w:type="gramStart"/>
      <w:r w:rsidRPr="002321C6">
        <w:rPr>
          <w:rFonts w:ascii="바탕체" w:eastAsia="바탕체" w:hAnsi="바탕체"/>
          <w:kern w:val="0"/>
          <w:sz w:val="24"/>
          <w:szCs w:val="24"/>
        </w:rPr>
        <w:t>ζ(</w:t>
      </w:r>
      <w:proofErr w:type="gramEnd"/>
      <w:r w:rsidRPr="002321C6">
        <w:rPr>
          <w:rFonts w:ascii="바탕체" w:eastAsia="바탕체" w:hAnsi="바탕체"/>
          <w:kern w:val="0"/>
          <w:sz w:val="24"/>
          <w:szCs w:val="24"/>
        </w:rPr>
        <w:t>ε) = ∂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ln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>(m/m+1)/∂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lnε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+ m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 xml:space="preserve">도 1과 도 2는 2507급 슈퍼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듀플렉스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스테인레스강에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있어서, 성형온도와 성형속도에 따라 각각 파워분산 효율인자와 소성변형 불안정인자의 크기 변화를 등고선 지도로 나타낸 것이다.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 xml:space="preserve">상기 파워분산 효율인자가 클수록 주어진 성형온도에서 2507급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스텐레스강의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</w:t>
      </w:r>
      <w:r w:rsidRPr="002321C6">
        <w:rPr>
          <w:rFonts w:ascii="바탕체" w:eastAsia="바탕체" w:hAnsi="바탕체"/>
          <w:kern w:val="0"/>
          <w:sz w:val="24"/>
          <w:szCs w:val="24"/>
        </w:rPr>
        <w:lastRenderedPageBreak/>
        <w:t xml:space="preserve">주조조직을 보다 균일하고 미세한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열간성형조직으로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바꾸는데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기여분이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크다. 도 1에서 1150~1250℃ 성형온도 범위에서는 파워분산 효율인자가 30 이상인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속도영역은 대략적으로 10s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 xml:space="preserve">-1 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범위이다. 그러나, 1150~1250℃ 성형온도 범위에서 소성변형 불안정인자가 음수가 되는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속도영역은 3s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를 초과하는 영역이다. 따라서,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잉곳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,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블룸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및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연주빌렛과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같은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주조재를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프레스와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열간성형시에는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1150~1250℃ 성형온도 범위에서 3s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 xml:space="preserve">-1 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이하 범위의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속도로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열간단조를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시작하는 것이 바람직하다.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 xml:space="preserve">또한 일반적으로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열간단조가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진행됨에 따라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피단조재의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온도가 감소하는데, 도 1에서 보는 바와 같이 1100~1150℃에 도달하면 파워분산 효율인자가 30 이상이 되는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속도는 2s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이하 이다. 그리고, 1050~1100℃에 도달하면 파워분산 효율인자가 30 이상이 되는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속도는 1s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kern w:val="0"/>
          <w:sz w:val="24"/>
          <w:szCs w:val="24"/>
        </w:rPr>
        <w:t>이하 이다.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 xml:space="preserve">또한, 1000~1050℃에 도달하면 파워분산 효율인자가 30 이상이 되는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속도는0.1~0.15s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이며, 이에 효율적인 성형을 위해서는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피단조재의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성형온도가 1050℃ 미만으로 떨어지지 않는 것이 바람직하다.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 xml:space="preserve">따라서, 본 발명의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방법은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스테인레스강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주조재를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1200~1250℃로 </w:t>
      </w:r>
      <w:r w:rsidRPr="002321C6">
        <w:rPr>
          <w:rFonts w:ascii="바탕체" w:eastAsia="바탕체" w:hAnsi="바탕체"/>
          <w:kern w:val="0"/>
          <w:sz w:val="24"/>
          <w:szCs w:val="24"/>
        </w:rPr>
        <w:lastRenderedPageBreak/>
        <w:t xml:space="preserve">가열한 후에 1150℃로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냉각될때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까지는 3s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 xml:space="preserve">-1 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이하의 성형속도로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프레스하고, 1100℃로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냉각될때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까지는 2s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 이하의 성형속도로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프레스하며, 1050℃로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냉각될때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까지는 1s</w:t>
      </w:r>
      <w:r w:rsidRPr="002321C6">
        <w:rPr>
          <w:rFonts w:ascii="바탕체" w:eastAsia="바탕체" w:hAnsi="바탕체"/>
          <w:kern w:val="0"/>
          <w:sz w:val="24"/>
          <w:szCs w:val="24"/>
          <w:vertAlign w:val="superscript"/>
        </w:rPr>
        <w:t>-1</w:t>
      </w:r>
      <w:r w:rsidRPr="002321C6">
        <w:rPr>
          <w:rFonts w:ascii="바탕체" w:eastAsia="바탕체" w:hAnsi="바탕체"/>
          <w:kern w:val="0"/>
          <w:sz w:val="24"/>
          <w:szCs w:val="24"/>
        </w:rPr>
        <w:t xml:space="preserve"> 이하의 성형속도로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열간단조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프레스하게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된다.</w:t>
      </w:r>
    </w:p>
    <w:p w:rsidR="0032198D" w:rsidRPr="002321C6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321C6">
        <w:rPr>
          <w:rFonts w:ascii="바탕체" w:eastAsia="바탕체" w:hAnsi="바탕체"/>
          <w:kern w:val="0"/>
          <w:sz w:val="24"/>
          <w:szCs w:val="24"/>
        </w:rPr>
        <w:t xml:space="preserve">또한, 상기한 방법에 따라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열간성형함에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있어서,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열간성형량을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달성하지 못하는 경우 상기 방법을 반복함으로써 원하는 </w:t>
      </w:r>
      <w:proofErr w:type="spellStart"/>
      <w:r w:rsidRPr="002321C6">
        <w:rPr>
          <w:rFonts w:ascii="바탕체" w:eastAsia="바탕체" w:hAnsi="바탕체"/>
          <w:kern w:val="0"/>
          <w:sz w:val="24"/>
          <w:szCs w:val="24"/>
        </w:rPr>
        <w:t>열간성형량을</w:t>
      </w:r>
      <w:proofErr w:type="spellEnd"/>
      <w:r w:rsidRPr="002321C6">
        <w:rPr>
          <w:rFonts w:ascii="바탕체" w:eastAsia="바탕체" w:hAnsi="바탕체"/>
          <w:kern w:val="0"/>
          <w:sz w:val="24"/>
          <w:szCs w:val="24"/>
        </w:rPr>
        <w:t xml:space="preserve"> 달성할 수 있다.</w:t>
      </w:r>
    </w:p>
    <w:p w:rsidR="00DC179C" w:rsidRDefault="0032198D" w:rsidP="0032198D">
      <w:pPr>
        <w:pStyle w:val="a3"/>
        <w:spacing w:line="672" w:lineRule="auto"/>
        <w:ind w:firstLine="600"/>
      </w:pPr>
      <w:r w:rsidRPr="004D30D6">
        <w:rPr>
          <w:rFonts w:ascii="바탕체" w:eastAsia="바탕체" w:hAnsi="바탕체"/>
          <w:kern w:val="0"/>
          <w:sz w:val="24"/>
          <w:szCs w:val="24"/>
        </w:rPr>
        <w:t xml:space="preserve">이하, </w:t>
      </w:r>
      <w:proofErr w:type="spellStart"/>
      <w:r w:rsidRPr="004D30D6">
        <w:rPr>
          <w:rFonts w:ascii="바탕체" w:eastAsia="바탕체" w:hAnsi="바탕체"/>
          <w:kern w:val="0"/>
          <w:sz w:val="24"/>
          <w:szCs w:val="24"/>
        </w:rPr>
        <w:t>실시예를</w:t>
      </w:r>
      <w:proofErr w:type="spellEnd"/>
      <w:r w:rsidRPr="004D30D6">
        <w:rPr>
          <w:rFonts w:ascii="바탕체" w:eastAsia="바탕체" w:hAnsi="바탕체"/>
          <w:kern w:val="0"/>
          <w:sz w:val="24"/>
          <w:szCs w:val="24"/>
        </w:rPr>
        <w:t xml:space="preserve"> 통하여 본 발명을 보다 상세하게 설명하나, 이러한 실시예의 기재는 본 발명의 실시를 예시하기 위한 것일 뿐 이러한 실시예의 기재에 의하여 본 발명이 제한되는 것은 아니다.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【발명의 효과</w:t>
      </w:r>
      <w:r w:rsidR="00877418">
        <w:rPr>
          <w:rFonts w:ascii="바탕체" w:eastAsia="바탕체"/>
          <w:sz w:val="24"/>
        </w:rPr>
        <w:t>】</w:t>
      </w:r>
    </w:p>
    <w:p w:rsidR="00DC179C" w:rsidRDefault="0032198D">
      <w:pPr>
        <w:pStyle w:val="a3"/>
        <w:spacing w:line="672" w:lineRule="auto"/>
        <w:ind w:firstLine="600"/>
      </w:pPr>
      <w:r w:rsidRPr="002F3B72">
        <w:rPr>
          <w:rFonts w:ascii="바탕체" w:eastAsia="바탕체" w:hAnsi="바탕체"/>
          <w:sz w:val="24"/>
          <w:szCs w:val="24"/>
        </w:rPr>
        <w:t xml:space="preserve">상술한 바와 같이, 본 발명에 따르면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난가공성의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2507급 슈퍼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주조재를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효율적으로 프레싱함으로써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열간단조시에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성형결함을 최소화할 수 있을 뿐만 아니라 우수한 미세조직을 갖는 성형부품을 제조함으로써, 석유화학, 발전소 및 해수에 노출되는 설비부품의 수명과 성능을 향상시킬 수 있다.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【도면의 간단한 설명</w:t>
      </w:r>
      <w:r w:rsidR="00877418">
        <w:rPr>
          <w:rFonts w:ascii="바탕체" w:eastAsia="바탕체"/>
          <w:sz w:val="24"/>
        </w:rPr>
        <w:t>】</w:t>
      </w:r>
    </w:p>
    <w:p w:rsidR="0032198D" w:rsidRPr="002F3B72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2F3B72">
        <w:rPr>
          <w:rFonts w:ascii="바탕체" w:eastAsia="바탕체"/>
          <w:kern w:val="0"/>
          <w:sz w:val="24"/>
          <w:szCs w:val="24"/>
        </w:rPr>
        <w:lastRenderedPageBreak/>
        <w:t>도 1은 가공온도와 성형속도에 따라 미세조직 변화에 기여하는 파워소모 효율을 나타낸 그래프이다.</w:t>
      </w:r>
    </w:p>
    <w:p w:rsidR="0032198D" w:rsidRPr="002F3B72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2F3B72">
        <w:rPr>
          <w:rFonts w:ascii="바탕체" w:eastAsia="바탕체"/>
          <w:kern w:val="0"/>
          <w:sz w:val="24"/>
          <w:szCs w:val="24"/>
        </w:rPr>
        <w:t xml:space="preserve">도 2는 가공온도와 성형속도에 따라 재료유동이 균일하게 발생하는 영역과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불균일하게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발생하는 영역을 구분하여 나타낸 그래프이다.</w:t>
      </w:r>
    </w:p>
    <w:p w:rsidR="0032198D" w:rsidRPr="002F3B72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2F3B72">
        <w:rPr>
          <w:rFonts w:ascii="바탕체" w:eastAsia="바탕체"/>
          <w:kern w:val="0"/>
          <w:sz w:val="24"/>
          <w:szCs w:val="24"/>
        </w:rPr>
        <w:t xml:space="preserve">도 3은 불안정한 유동영역에서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열간성형된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스테인레스강의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미세조직을 나타낸 사진이다.</w:t>
      </w:r>
    </w:p>
    <w:p w:rsidR="0032198D" w:rsidRPr="002F3B72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2F3B72">
        <w:rPr>
          <w:rFonts w:ascii="바탕체" w:eastAsia="바탕체"/>
          <w:kern w:val="0"/>
          <w:sz w:val="24"/>
          <w:szCs w:val="24"/>
        </w:rPr>
        <w:t xml:space="preserve">도 4는 변형에 소요된 파워가 30% 미만인 조건에서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열간성형된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스테인레스강의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미세조직을 나타낸 사진이다.</w:t>
      </w:r>
    </w:p>
    <w:p w:rsidR="00DC179C" w:rsidRDefault="0032198D" w:rsidP="0032198D">
      <w:pPr>
        <w:pStyle w:val="a3"/>
        <w:wordWrap/>
        <w:spacing w:line="672" w:lineRule="auto"/>
        <w:ind w:firstLine="600"/>
        <w:jc w:val="left"/>
      </w:pPr>
      <w:r w:rsidRPr="002F3B72">
        <w:rPr>
          <w:rFonts w:ascii="바탕체" w:eastAsia="바탕체"/>
          <w:kern w:val="0"/>
          <w:sz w:val="24"/>
          <w:szCs w:val="24"/>
        </w:rPr>
        <w:t xml:space="preserve">도 5는 본 발명의 조건에 따라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열간성형된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/>
          <w:kern w:val="0"/>
          <w:sz w:val="24"/>
          <w:szCs w:val="24"/>
        </w:rPr>
        <w:t>스테인레스강의</w:t>
      </w:r>
      <w:proofErr w:type="spellEnd"/>
      <w:r w:rsidRPr="002F3B72">
        <w:rPr>
          <w:rFonts w:ascii="바탕체" w:eastAsia="바탕체"/>
          <w:kern w:val="0"/>
          <w:sz w:val="24"/>
          <w:szCs w:val="24"/>
        </w:rPr>
        <w:t xml:space="preserve"> 미세조직을 나타낸 사진이다.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【발명</w:t>
      </w:r>
      <w:r w:rsidR="00877418">
        <w:rPr>
          <w:rFonts w:ascii="바탕체" w:eastAsia="바탕체" w:hint="eastAsia"/>
          <w:sz w:val="24"/>
        </w:rPr>
        <w:t>의</w:t>
      </w:r>
      <w:r>
        <w:rPr>
          <w:rFonts w:ascii="바탕체" w:eastAsia="바탕체"/>
          <w:sz w:val="24"/>
        </w:rPr>
        <w:t xml:space="preserve"> 실시</w:t>
      </w:r>
      <w:r w:rsidR="006B05F3">
        <w:rPr>
          <w:rFonts w:ascii="바탕체" w:eastAsia="바탕체" w:hint="eastAsia"/>
          <w:sz w:val="24"/>
        </w:rPr>
        <w:t>를 위한 최선의 형태</w:t>
      </w:r>
      <w:r w:rsidR="00877418">
        <w:rPr>
          <w:rFonts w:ascii="바탕체" w:eastAsia="바탕체"/>
          <w:sz w:val="24"/>
        </w:rPr>
        <w:t>】</w:t>
      </w:r>
    </w:p>
    <w:p w:rsidR="0032198D" w:rsidRDefault="0032198D" w:rsidP="0032198D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r w:rsidRPr="002F3B72">
        <w:rPr>
          <w:rFonts w:ascii="바탕체" w:eastAsia="바탕체" w:hAnsi="바탕체"/>
          <w:sz w:val="24"/>
          <w:szCs w:val="24"/>
        </w:rPr>
        <w:t xml:space="preserve">하기 표 1의 2507급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듀플렉스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스테인레스강을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진공용해로를 이용하여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잉곳으로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제조하였다. 상기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잉곳은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1200℃에서 2시간동안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균질화처리한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후에 고온 압축시험에 필요한 시편을 채취하였다. </w:t>
      </w:r>
    </w:p>
    <w:p w:rsidR="0032198D" w:rsidRDefault="0032198D" w:rsidP="0032198D">
      <w:pPr>
        <w:pStyle w:val="a3"/>
        <w:spacing w:line="672" w:lineRule="auto"/>
        <w:ind w:firstLine="600"/>
        <w:rPr>
          <w:rFonts w:ascii="바탕체" w:eastAsia="바탕체"/>
          <w:sz w:val="24"/>
        </w:rPr>
      </w:pPr>
      <w:r>
        <w:rPr>
          <w:rFonts w:ascii="바탕체" w:eastAsia="바탕체"/>
          <w:sz w:val="24"/>
        </w:rPr>
        <w:t>【</w:t>
      </w:r>
      <w:r>
        <w:rPr>
          <w:rFonts w:ascii="바탕체" w:eastAsia="바탕체" w:hint="eastAsia"/>
          <w:sz w:val="24"/>
        </w:rPr>
        <w:t>표 1</w:t>
      </w:r>
      <w:r>
        <w:rPr>
          <w:rFonts w:ascii="바탕체" w:eastAsia="바탕체"/>
          <w:sz w:val="24"/>
        </w:rPr>
        <w:t>】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2198D" w:rsidRPr="002F3B72" w:rsidTr="00F268B9"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 w:cs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 w:cs="바탕체" w:hint="eastAsia"/>
                <w:kern w:val="0"/>
                <w:szCs w:val="20"/>
              </w:rPr>
              <w:lastRenderedPageBreak/>
              <w:t>합금조성</w:t>
            </w:r>
            <w:r w:rsidRPr="002F3B72">
              <w:rPr>
                <w:rFonts w:ascii="바탕체" w:eastAsia="바탕체" w:cs="바탕체"/>
                <w:kern w:val="0"/>
                <w:szCs w:val="20"/>
              </w:rPr>
              <w:t>(중량%)</w:t>
            </w:r>
          </w:p>
        </w:tc>
      </w:tr>
      <w:tr w:rsidR="0032198D" w:rsidRPr="002F3B72" w:rsidTr="00F268B9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C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Si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proofErr w:type="spellStart"/>
            <w:r w:rsidRPr="002F3B72">
              <w:rPr>
                <w:rFonts w:ascii="바탕체" w:eastAsia="바탕체"/>
                <w:kern w:val="0"/>
                <w:szCs w:val="20"/>
              </w:rPr>
              <w:t>Mn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Ni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Cr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Mo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S</w:t>
            </w:r>
          </w:p>
        </w:tc>
      </w:tr>
      <w:tr w:rsidR="0032198D" w:rsidRPr="002F3B72" w:rsidTr="00F268B9"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0.023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0.8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1.02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6.95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25.0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4.03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0.01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8D" w:rsidRPr="002F3B72" w:rsidRDefault="0032198D" w:rsidP="00F268B9">
            <w:pPr>
              <w:wordWrap/>
              <w:adjustRightInd w:val="0"/>
              <w:spacing w:after="0" w:line="312" w:lineRule="auto"/>
              <w:jc w:val="center"/>
              <w:rPr>
                <w:rFonts w:ascii="바탕체" w:eastAsia="바탕체"/>
                <w:kern w:val="0"/>
                <w:sz w:val="24"/>
                <w:szCs w:val="24"/>
              </w:rPr>
            </w:pPr>
            <w:r w:rsidRPr="002F3B72">
              <w:rPr>
                <w:rFonts w:ascii="바탕체" w:eastAsia="바탕체"/>
                <w:kern w:val="0"/>
                <w:szCs w:val="20"/>
              </w:rPr>
              <w:t>0.003</w:t>
            </w:r>
          </w:p>
        </w:tc>
      </w:tr>
    </w:tbl>
    <w:p w:rsidR="00DC179C" w:rsidRDefault="00DC179C" w:rsidP="00D854CC">
      <w:pPr>
        <w:pStyle w:val="a3"/>
        <w:spacing w:line="672" w:lineRule="auto"/>
        <w:rPr>
          <w:rFonts w:ascii="바탕체" w:eastAsia="바탕체" w:hAnsi="바탕체"/>
          <w:kern w:val="0"/>
          <w:sz w:val="24"/>
          <w:szCs w:val="24"/>
        </w:rPr>
      </w:pPr>
    </w:p>
    <w:p w:rsidR="00D854CC" w:rsidRDefault="00D854CC" w:rsidP="00D854CC">
      <w:pPr>
        <w:pStyle w:val="a3"/>
        <w:wordWrap/>
        <w:spacing w:line="672" w:lineRule="auto"/>
        <w:jc w:val="left"/>
        <w:rPr>
          <w:rFonts w:ascii="바탕체"/>
          <w:sz w:val="24"/>
        </w:rPr>
      </w:pPr>
      <w:r>
        <w:rPr>
          <w:rFonts w:ascii="바탕체" w:eastAsia="바탕체"/>
          <w:sz w:val="24"/>
        </w:rPr>
        <w:t>【발명</w:t>
      </w:r>
      <w:r w:rsidR="00877418">
        <w:rPr>
          <w:rFonts w:ascii="바탕체" w:eastAsia="바탕체" w:hint="eastAsia"/>
          <w:sz w:val="24"/>
        </w:rPr>
        <w:t>의</w:t>
      </w:r>
      <w:r>
        <w:rPr>
          <w:rFonts w:ascii="바탕체" w:eastAsia="바탕체"/>
          <w:sz w:val="24"/>
        </w:rPr>
        <w:t xml:space="preserve"> 실시</w:t>
      </w:r>
      <w:r>
        <w:rPr>
          <w:rFonts w:ascii="바탕체" w:eastAsia="바탕체" w:hint="eastAsia"/>
          <w:sz w:val="24"/>
        </w:rPr>
        <w:t>를 위한 형태</w:t>
      </w:r>
      <w:r>
        <w:rPr>
          <w:rFonts w:ascii="바탕체"/>
          <w:sz w:val="24"/>
        </w:rPr>
        <w:t>】</w:t>
      </w:r>
    </w:p>
    <w:p w:rsidR="00D854CC" w:rsidRDefault="00D854CC" w:rsidP="00D854CC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F3B72">
        <w:rPr>
          <w:rFonts w:ascii="바탕체" w:eastAsia="바탕체" w:hAnsi="바탕체"/>
          <w:sz w:val="24"/>
          <w:szCs w:val="24"/>
        </w:rPr>
        <w:t xml:space="preserve">고온 압축시험은 직경10mm이고 길이가 12mm인 봉재를 이용하여 가공온도 및 </w:t>
      </w:r>
      <w:proofErr w:type="spellStart"/>
      <w:r w:rsidRPr="002F3B72">
        <w:rPr>
          <w:rFonts w:ascii="바탕체" w:eastAsia="바탕체" w:hAnsi="바탕체"/>
          <w:sz w:val="24"/>
          <w:szCs w:val="24"/>
        </w:rPr>
        <w:t>성형속도별로</w:t>
      </w:r>
      <w:proofErr w:type="spellEnd"/>
      <w:r w:rsidRPr="002F3B72">
        <w:rPr>
          <w:rFonts w:ascii="바탕체" w:eastAsia="바탕체" w:hAnsi="바탕체"/>
          <w:sz w:val="24"/>
          <w:szCs w:val="24"/>
        </w:rPr>
        <w:t xml:space="preserve"> 60%까지 압축하여 수행하였다.</w:t>
      </w:r>
      <w:r w:rsidRPr="00D854CC">
        <w:rPr>
          <w:rFonts w:ascii="바탕체" w:eastAsia="바탕체" w:hAnsi="바탕체"/>
          <w:kern w:val="0"/>
          <w:sz w:val="24"/>
          <w:szCs w:val="24"/>
        </w:rPr>
        <w:t xml:space="preserve"> </w:t>
      </w:r>
    </w:p>
    <w:p w:rsidR="00D854CC" w:rsidRPr="002F3B72" w:rsidRDefault="00D854CC" w:rsidP="00D854CC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F3B72">
        <w:rPr>
          <w:rFonts w:ascii="바탕체" w:eastAsia="바탕체" w:hAnsi="바탕체"/>
          <w:kern w:val="0"/>
          <w:sz w:val="24"/>
          <w:szCs w:val="24"/>
        </w:rPr>
        <w:t xml:space="preserve">도 3은 도 2의 소성변형 불안정인자인 ζ(ε)가 음수인 영역에서의 미세조직을 관찰한 사진이며, </w:t>
      </w:r>
      <w:proofErr w:type="spellStart"/>
      <w:r w:rsidRPr="002F3B72">
        <w:rPr>
          <w:rFonts w:ascii="바탕체" w:eastAsia="바탕체" w:hAnsi="바탕체"/>
          <w:kern w:val="0"/>
          <w:sz w:val="24"/>
          <w:szCs w:val="24"/>
        </w:rPr>
        <w:t>열간성형조직이</w:t>
      </w:r>
      <w:proofErr w:type="spellEnd"/>
      <w:r w:rsidRPr="002F3B72">
        <w:rPr>
          <w:rFonts w:ascii="바탕체" w:eastAsia="바탕체" w:hAnsi="바탕체"/>
          <w:kern w:val="0"/>
          <w:sz w:val="24"/>
          <w:szCs w:val="24"/>
        </w:rPr>
        <w:t xml:space="preserve"> </w:t>
      </w:r>
      <w:proofErr w:type="spellStart"/>
      <w:r w:rsidRPr="002F3B72">
        <w:rPr>
          <w:rFonts w:ascii="바탕체" w:eastAsia="바탕체" w:hAnsi="바탕체"/>
          <w:kern w:val="0"/>
          <w:sz w:val="24"/>
          <w:szCs w:val="24"/>
        </w:rPr>
        <w:t>불균일한</w:t>
      </w:r>
      <w:proofErr w:type="spellEnd"/>
      <w:r w:rsidRPr="002F3B72">
        <w:rPr>
          <w:rFonts w:ascii="바탕체" w:eastAsia="바탕체" w:hAnsi="바탕체"/>
          <w:kern w:val="0"/>
          <w:sz w:val="24"/>
          <w:szCs w:val="24"/>
        </w:rPr>
        <w:t xml:space="preserve"> 변형상태를 나타낼 뿐만 아니라 주조조직의 개선이 크게 발생하지 않은 것으로 나타났다.</w:t>
      </w:r>
    </w:p>
    <w:p w:rsidR="00D854CC" w:rsidRPr="002F3B72" w:rsidRDefault="00D854CC" w:rsidP="00D854CC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 w:hAnsi="바탕체"/>
          <w:kern w:val="0"/>
          <w:sz w:val="24"/>
          <w:szCs w:val="24"/>
        </w:rPr>
      </w:pPr>
      <w:r w:rsidRPr="002F3B72">
        <w:rPr>
          <w:rFonts w:ascii="바탕체" w:eastAsia="바탕체" w:hAnsi="바탕체"/>
          <w:kern w:val="0"/>
          <w:sz w:val="24"/>
          <w:szCs w:val="24"/>
        </w:rPr>
        <w:t xml:space="preserve">도 4는 도 2의 소성변형 불안정인자인 ζ(ε)가 양수인 영역이지만, 파워분산 효율인자가 30 미만으로 낮은 영역에서 미세조직을 관찰한 사진이며, </w:t>
      </w:r>
      <w:proofErr w:type="spellStart"/>
      <w:r w:rsidRPr="002F3B72">
        <w:rPr>
          <w:rFonts w:ascii="바탕체" w:eastAsia="바탕체" w:hAnsi="바탕체"/>
          <w:kern w:val="0"/>
          <w:sz w:val="24"/>
          <w:szCs w:val="24"/>
        </w:rPr>
        <w:t>불균일한</w:t>
      </w:r>
      <w:proofErr w:type="spellEnd"/>
      <w:r w:rsidRPr="002F3B72">
        <w:rPr>
          <w:rFonts w:ascii="바탕체" w:eastAsia="바탕체" w:hAnsi="바탕체"/>
          <w:kern w:val="0"/>
          <w:sz w:val="24"/>
          <w:szCs w:val="24"/>
        </w:rPr>
        <w:t xml:space="preserve"> 변형상태가 관찰될 뿐만 아니라 주조조직의 개선효과가 미미함을 알 수 있다.</w:t>
      </w:r>
    </w:p>
    <w:p w:rsidR="00D854CC" w:rsidRPr="00D854CC" w:rsidRDefault="00D854CC" w:rsidP="00D854CC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sz w:val="24"/>
          <w:szCs w:val="24"/>
        </w:rPr>
      </w:pPr>
      <w:r w:rsidRPr="004D30D6">
        <w:rPr>
          <w:rFonts w:ascii="바탕체" w:eastAsia="바탕체" w:hAnsi="바탕체"/>
          <w:kern w:val="0"/>
          <w:sz w:val="24"/>
          <w:szCs w:val="24"/>
        </w:rPr>
        <w:t xml:space="preserve">도 5는 소성변형 불안정인자인 ζ(ε)가 양수이고 파워분산 효율인자가 30 이상인 높은 영역에서 미세조직을 관찰한 사진이며, 도 3 및 도 4와는 달리 </w:t>
      </w:r>
      <w:proofErr w:type="spellStart"/>
      <w:r w:rsidRPr="004D30D6">
        <w:rPr>
          <w:rFonts w:ascii="바탕체" w:eastAsia="바탕체" w:hAnsi="바탕체"/>
          <w:kern w:val="0"/>
          <w:sz w:val="24"/>
          <w:szCs w:val="24"/>
        </w:rPr>
        <w:t>불균일</w:t>
      </w:r>
      <w:proofErr w:type="spellEnd"/>
      <w:r w:rsidRPr="004D30D6">
        <w:rPr>
          <w:rFonts w:ascii="바탕체" w:eastAsia="바탕체" w:hAnsi="바탕체"/>
          <w:kern w:val="0"/>
          <w:sz w:val="24"/>
          <w:szCs w:val="24"/>
        </w:rPr>
        <w:t xml:space="preserve"> 변형상태도 관찰되지 않았고 상당한 주조조직의 개선효과를 관찰할 수 있었다.</w:t>
      </w:r>
    </w:p>
    <w:p w:rsidR="00DC179C" w:rsidRDefault="00BB2589">
      <w:pPr>
        <w:pStyle w:val="a3"/>
        <w:wordWrap/>
        <w:spacing w:line="672" w:lineRule="auto"/>
        <w:jc w:val="center"/>
      </w:pPr>
      <w:r>
        <w:rPr>
          <w:rFonts w:ascii="바탕체" w:eastAsia="바탕체"/>
          <w:sz w:val="24"/>
        </w:rPr>
        <w:lastRenderedPageBreak/>
        <w:t>【청구</w:t>
      </w:r>
      <w:r w:rsidR="006B05F3">
        <w:rPr>
          <w:rFonts w:ascii="바탕체" w:eastAsia="바탕체" w:hint="eastAsia"/>
          <w:sz w:val="24"/>
        </w:rPr>
        <w:t xml:space="preserve">의 </w:t>
      </w:r>
      <w:r>
        <w:rPr>
          <w:rFonts w:ascii="바탕체" w:eastAsia="바탕체"/>
          <w:sz w:val="24"/>
        </w:rPr>
        <w:t>범위】</w:t>
      </w:r>
    </w:p>
    <w:p w:rsidR="00DC179C" w:rsidRDefault="00BB2589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</w:t>
      </w:r>
      <w:proofErr w:type="spellStart"/>
      <w:r>
        <w:rPr>
          <w:rFonts w:ascii="바탕체" w:eastAsia="바탕체"/>
          <w:sz w:val="24"/>
        </w:rPr>
        <w:t>청구항</w:t>
      </w:r>
      <w:proofErr w:type="spellEnd"/>
      <w:r>
        <w:rPr>
          <w:rFonts w:ascii="바탕체"/>
          <w:sz w:val="24"/>
        </w:rPr>
        <w:t xml:space="preserve"> 1</w:t>
      </w:r>
      <w:r>
        <w:rPr>
          <w:rFonts w:ascii="바탕체"/>
          <w:sz w:val="24"/>
        </w:rPr>
        <w:t>】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4D30D6">
        <w:rPr>
          <w:rFonts w:ascii="바탕체" w:eastAsia="바탕체" w:hAnsi="바탕체"/>
          <w:sz w:val="24"/>
          <w:szCs w:val="24"/>
        </w:rPr>
        <w:t xml:space="preserve">중량%로, C: 0.03% 이하, Si: 0.8% 이하,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Mn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: 1.2% 이하, Ni: 6.0~8.0%, Cr: 24.0~26.0%, Mo: 3.0~5.0%, N: 0.24~0.32%, 나머지 Fe 및 기타 불가피한 불순물로 조성되는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이상조직을 갖는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주조재를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1200~1250℃로 가열한 후에 1050℃로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냉각될때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까지 하기의 [수학식 1]과 같이 정의되는 파워분산 효율인자 (η)가 파워분산 효율인자를 나타내는 등고선 지도에서 그 값이 30이상이고, 하기의 [수학식 2]와 같이 정의되는 소성변형 불안정인자 (ζ(ε))가 소성변형 불안정인자를 나타내는 등고선 지도에서 그 값이 양수인 것을 동시에 만족하는 영역의 </w:t>
      </w:r>
      <w:proofErr w:type="gramStart"/>
      <w:r w:rsidRPr="004D30D6">
        <w:rPr>
          <w:rFonts w:ascii="바탕체" w:eastAsia="바탕체" w:hAnsi="바탕체"/>
          <w:sz w:val="24"/>
          <w:szCs w:val="24"/>
        </w:rPr>
        <w:t xml:space="preserve">성형속도로 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열간단조</w:t>
      </w:r>
      <w:proofErr w:type="spellEnd"/>
      <w:proofErr w:type="gramEnd"/>
      <w:r w:rsidRPr="004D30D6">
        <w:rPr>
          <w:rFonts w:ascii="바탕체" w:eastAsia="바탕체" w:hAnsi="바탕체"/>
          <w:sz w:val="24"/>
          <w:szCs w:val="24"/>
        </w:rPr>
        <w:t xml:space="preserve">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프레스하는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것을 특징으로 하는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페라이트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>-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오스테나이트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2상조직을 갖는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스테인레스강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주조재의 </w:t>
      </w:r>
      <w:proofErr w:type="spellStart"/>
      <w:r w:rsidRPr="004D30D6">
        <w:rPr>
          <w:rFonts w:ascii="바탕체" w:eastAsia="바탕체" w:hAnsi="바탕체"/>
          <w:sz w:val="24"/>
          <w:szCs w:val="24"/>
        </w:rPr>
        <w:t>열간단조</w:t>
      </w:r>
      <w:proofErr w:type="spellEnd"/>
      <w:r w:rsidRPr="004D30D6">
        <w:rPr>
          <w:rFonts w:ascii="바탕체" w:eastAsia="바탕체" w:hAnsi="바탕체"/>
          <w:sz w:val="24"/>
          <w:szCs w:val="24"/>
        </w:rPr>
        <w:t xml:space="preserve"> 방법.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6E1913">
        <w:rPr>
          <w:rFonts w:ascii="바탕체" w:eastAsia="바탕체" w:hAnsi="바탕체"/>
          <w:kern w:val="0"/>
          <w:sz w:val="24"/>
          <w:szCs w:val="24"/>
        </w:rPr>
        <w:t>[수학식 1]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6E1913">
        <w:rPr>
          <w:rFonts w:ascii="바탕체" w:eastAsia="바탕체" w:hAnsi="바탕체"/>
          <w:kern w:val="0"/>
          <w:sz w:val="24"/>
          <w:szCs w:val="24"/>
        </w:rPr>
        <w:t>η = 2m</w:t>
      </w:r>
      <w:proofErr w:type="gramStart"/>
      <w:r w:rsidRPr="006E1913">
        <w:rPr>
          <w:rFonts w:ascii="바탕체" w:eastAsia="바탕체" w:hAnsi="바탕체"/>
          <w:kern w:val="0"/>
          <w:sz w:val="24"/>
          <w:szCs w:val="24"/>
        </w:rPr>
        <w:t>/(</w:t>
      </w:r>
      <w:proofErr w:type="gramEnd"/>
      <w:r w:rsidRPr="006E1913">
        <w:rPr>
          <w:rFonts w:ascii="바탕체" w:eastAsia="바탕체" w:hAnsi="바탕체"/>
          <w:kern w:val="0"/>
          <w:sz w:val="24"/>
          <w:szCs w:val="24"/>
        </w:rPr>
        <w:t>m+1)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proofErr w:type="gramStart"/>
      <w:r w:rsidRPr="006E1913">
        <w:rPr>
          <w:rFonts w:ascii="바탕체" w:eastAsia="바탕체" w:hAnsi="바탕체"/>
          <w:kern w:val="0"/>
          <w:sz w:val="24"/>
          <w:szCs w:val="24"/>
        </w:rPr>
        <w:t>η :</w:t>
      </w:r>
      <w:proofErr w:type="gramEnd"/>
      <w:r w:rsidRPr="006E1913">
        <w:rPr>
          <w:rFonts w:ascii="바탕체" w:eastAsia="바탕체" w:hAnsi="바탕체"/>
          <w:kern w:val="0"/>
          <w:sz w:val="24"/>
          <w:szCs w:val="24"/>
        </w:rPr>
        <w:t xml:space="preserve"> 파워분산 효율인자, m : </w:t>
      </w:r>
      <w:proofErr w:type="spellStart"/>
      <w:r w:rsidRPr="006E1913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6E1913">
        <w:rPr>
          <w:rFonts w:ascii="바탕체" w:eastAsia="바탕체" w:hAnsi="바탕체"/>
          <w:kern w:val="0"/>
          <w:sz w:val="24"/>
          <w:szCs w:val="24"/>
        </w:rPr>
        <w:t xml:space="preserve"> 속도 민감도 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r w:rsidRPr="006E1913">
        <w:rPr>
          <w:rFonts w:ascii="바탕체" w:eastAsia="바탕체" w:hAnsi="바탕체"/>
          <w:kern w:val="0"/>
          <w:sz w:val="24"/>
          <w:szCs w:val="24"/>
        </w:rPr>
        <w:lastRenderedPageBreak/>
        <w:t>[수학식 2]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rPr>
          <w:rFonts w:ascii="바탕체" w:eastAsia="바탕체" w:hAnsi="바탕체"/>
          <w:kern w:val="0"/>
          <w:sz w:val="24"/>
          <w:szCs w:val="24"/>
        </w:rPr>
      </w:pPr>
      <w:proofErr w:type="gramStart"/>
      <w:r w:rsidRPr="006E1913">
        <w:rPr>
          <w:rFonts w:ascii="바탕체" w:eastAsia="바탕체" w:hAnsi="바탕체"/>
          <w:kern w:val="0"/>
          <w:sz w:val="24"/>
          <w:szCs w:val="24"/>
        </w:rPr>
        <w:t>ζ(</w:t>
      </w:r>
      <w:proofErr w:type="gramEnd"/>
      <w:r w:rsidRPr="006E1913">
        <w:rPr>
          <w:rFonts w:ascii="바탕체" w:eastAsia="바탕체" w:hAnsi="바탕체"/>
          <w:kern w:val="0"/>
          <w:sz w:val="24"/>
          <w:szCs w:val="24"/>
        </w:rPr>
        <w:t>ε) = ∂</w:t>
      </w:r>
      <w:proofErr w:type="spellStart"/>
      <w:r w:rsidRPr="006E1913">
        <w:rPr>
          <w:rFonts w:ascii="바탕체" w:eastAsia="바탕체" w:hAnsi="바탕체"/>
          <w:kern w:val="0"/>
          <w:sz w:val="24"/>
          <w:szCs w:val="24"/>
        </w:rPr>
        <w:t>ln</w:t>
      </w:r>
      <w:proofErr w:type="spellEnd"/>
      <w:r w:rsidRPr="006E1913">
        <w:rPr>
          <w:rFonts w:ascii="바탕체" w:eastAsia="바탕체" w:hAnsi="바탕체"/>
          <w:kern w:val="0"/>
          <w:sz w:val="24"/>
          <w:szCs w:val="24"/>
        </w:rPr>
        <w:t>(m/m+1)/∂</w:t>
      </w:r>
      <w:proofErr w:type="spellStart"/>
      <w:r w:rsidRPr="006E1913">
        <w:rPr>
          <w:rFonts w:ascii="바탕체" w:eastAsia="바탕체" w:hAnsi="바탕체"/>
          <w:kern w:val="0"/>
          <w:sz w:val="24"/>
          <w:szCs w:val="24"/>
        </w:rPr>
        <w:t>lnε</w:t>
      </w:r>
      <w:proofErr w:type="spellEnd"/>
      <w:r w:rsidRPr="006E1913">
        <w:rPr>
          <w:rFonts w:ascii="바탕체" w:eastAsia="바탕체" w:hAnsi="바탕체"/>
          <w:kern w:val="0"/>
          <w:sz w:val="24"/>
          <w:szCs w:val="24"/>
        </w:rPr>
        <w:t xml:space="preserve"> + m</w:t>
      </w:r>
    </w:p>
    <w:p w:rsidR="00DC179C" w:rsidRDefault="0032198D" w:rsidP="0032198D">
      <w:pPr>
        <w:pStyle w:val="a3"/>
        <w:spacing w:line="672" w:lineRule="auto"/>
        <w:ind w:firstLine="600"/>
      </w:pPr>
      <w:r w:rsidRPr="004D30D6">
        <w:rPr>
          <w:rFonts w:ascii="바탕체" w:eastAsia="바탕체" w:hAnsi="바탕체"/>
          <w:kern w:val="0"/>
          <w:sz w:val="24"/>
          <w:szCs w:val="24"/>
        </w:rPr>
        <w:t>ζ(ε</w:t>
      </w:r>
      <w:proofErr w:type="gramStart"/>
      <w:r w:rsidRPr="004D30D6">
        <w:rPr>
          <w:rFonts w:ascii="바탕체" w:eastAsia="바탕체" w:hAnsi="바탕체"/>
          <w:kern w:val="0"/>
          <w:sz w:val="24"/>
          <w:szCs w:val="24"/>
        </w:rPr>
        <w:t>) :</w:t>
      </w:r>
      <w:proofErr w:type="gramEnd"/>
      <w:r w:rsidRPr="004D30D6">
        <w:rPr>
          <w:rFonts w:ascii="바탕체" w:eastAsia="바탕체" w:hAnsi="바탕체"/>
          <w:kern w:val="0"/>
          <w:sz w:val="24"/>
          <w:szCs w:val="24"/>
        </w:rPr>
        <w:t xml:space="preserve"> 소성변형 불안정인자, m : </w:t>
      </w:r>
      <w:proofErr w:type="spellStart"/>
      <w:r w:rsidRPr="004D30D6">
        <w:rPr>
          <w:rFonts w:ascii="바탕체" w:eastAsia="바탕체" w:hAnsi="바탕체"/>
          <w:kern w:val="0"/>
          <w:sz w:val="24"/>
          <w:szCs w:val="24"/>
        </w:rPr>
        <w:t>변형률</w:t>
      </w:r>
      <w:proofErr w:type="spellEnd"/>
      <w:r w:rsidRPr="004D30D6">
        <w:rPr>
          <w:rFonts w:ascii="바탕체" w:eastAsia="바탕체" w:hAnsi="바탕체"/>
          <w:kern w:val="0"/>
          <w:sz w:val="24"/>
          <w:szCs w:val="24"/>
        </w:rPr>
        <w:t xml:space="preserve"> 속도 민감도</w:t>
      </w:r>
    </w:p>
    <w:p w:rsidR="0032198D" w:rsidRDefault="0032198D">
      <w:pPr>
        <w:widowControl/>
        <w:wordWrap/>
        <w:autoSpaceDE/>
        <w:autoSpaceDN/>
        <w:rPr>
          <w:rFonts w:ascii="바탕체" w:eastAsia="바탕체"/>
          <w:color w:val="000000"/>
          <w:sz w:val="24"/>
          <w:shd w:val="clear" w:color="000000" w:fill="auto"/>
        </w:rPr>
      </w:pPr>
      <w:r>
        <w:rPr>
          <w:rFonts w:ascii="바탕체" w:eastAsia="바탕체"/>
          <w:sz w:val="24"/>
        </w:rPr>
        <w:br w:type="page"/>
      </w:r>
    </w:p>
    <w:p w:rsidR="00DC179C" w:rsidRDefault="00BB2589">
      <w:pPr>
        <w:pStyle w:val="a3"/>
        <w:wordWrap/>
        <w:spacing w:line="672" w:lineRule="auto"/>
        <w:jc w:val="center"/>
      </w:pPr>
      <w:r>
        <w:rPr>
          <w:rFonts w:ascii="바탕체" w:eastAsia="바탕체"/>
          <w:sz w:val="24"/>
        </w:rPr>
        <w:lastRenderedPageBreak/>
        <w:t>【요약서】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6E1913">
        <w:rPr>
          <w:rFonts w:ascii="바탕체" w:eastAsia="바탕체"/>
          <w:kern w:val="0"/>
          <w:sz w:val="24"/>
          <w:szCs w:val="24"/>
        </w:rPr>
        <w:t xml:space="preserve">본 발명은 선박, 석유화학 그리고 발전설비 등 높은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내식성을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요구하는 부품에 이용되는 2507급 슈퍼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듀플렉스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스테인레스강의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열간단조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방법에 관한 것이다.</w:t>
      </w:r>
    </w:p>
    <w:p w:rsidR="0032198D" w:rsidRPr="006E1913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6E1913">
        <w:rPr>
          <w:rFonts w:ascii="바탕체" w:eastAsia="바탕체"/>
          <w:kern w:val="0"/>
          <w:sz w:val="24"/>
          <w:szCs w:val="24"/>
        </w:rPr>
        <w:t xml:space="preserve">본 발명은, 중량%로, C: 0.03% 이하, Si: 0.8% 이하,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Mn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: 1.2% 이하, Ni: 6.0~8.0%, Cr: 24.0~26.0%, Mo: 3.0~5.0%, N: 0.24~0.32%, 나머지 Fe 및 기타 불가피한 불순물로 조성되는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페라이트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>-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오스테나이트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이상조직을 갖는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스테인레스강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주조재를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1200~1250</w:t>
      </w:r>
      <w:r w:rsidRPr="006E1913">
        <w:rPr>
          <w:rFonts w:ascii="바탕체" w:eastAsia="바탕체"/>
          <w:kern w:val="0"/>
          <w:sz w:val="24"/>
          <w:szCs w:val="24"/>
        </w:rPr>
        <w:t>℃</w:t>
      </w:r>
      <w:r w:rsidRPr="006E1913">
        <w:rPr>
          <w:rFonts w:ascii="바탕체" w:eastAsia="바탕체"/>
          <w:kern w:val="0"/>
          <w:sz w:val="24"/>
          <w:szCs w:val="24"/>
        </w:rPr>
        <w:t>로 가열한 후에 1150</w:t>
      </w:r>
      <w:r w:rsidRPr="006E1913">
        <w:rPr>
          <w:rFonts w:ascii="바탕체" w:eastAsia="바탕체"/>
          <w:kern w:val="0"/>
          <w:sz w:val="24"/>
          <w:szCs w:val="24"/>
        </w:rPr>
        <w:t>℃</w:t>
      </w:r>
      <w:r w:rsidRPr="006E1913">
        <w:rPr>
          <w:rFonts w:ascii="바탕체" w:eastAsia="바탕체"/>
          <w:kern w:val="0"/>
          <w:sz w:val="24"/>
          <w:szCs w:val="24"/>
        </w:rPr>
        <w:t xml:space="preserve">로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냉각될때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까지는 3s</w:t>
      </w:r>
      <w:r w:rsidRPr="006E1913">
        <w:rPr>
          <w:rFonts w:ascii="바탕체" w:eastAsia="바탕체"/>
          <w:kern w:val="0"/>
          <w:sz w:val="24"/>
          <w:szCs w:val="24"/>
          <w:vertAlign w:val="superscript"/>
        </w:rPr>
        <w:t xml:space="preserve">-1 </w:t>
      </w:r>
      <w:r w:rsidRPr="006E1913">
        <w:rPr>
          <w:rFonts w:ascii="바탕체" w:eastAsia="바탕체"/>
          <w:kern w:val="0"/>
          <w:sz w:val="24"/>
          <w:szCs w:val="24"/>
        </w:rPr>
        <w:t xml:space="preserve">이하의 성형속도로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열간단조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프레스하고, 1100</w:t>
      </w:r>
      <w:r w:rsidRPr="006E1913">
        <w:rPr>
          <w:rFonts w:ascii="바탕체" w:eastAsia="바탕체"/>
          <w:kern w:val="0"/>
          <w:sz w:val="24"/>
          <w:szCs w:val="24"/>
        </w:rPr>
        <w:t>℃</w:t>
      </w:r>
      <w:r w:rsidRPr="006E1913">
        <w:rPr>
          <w:rFonts w:ascii="바탕체" w:eastAsia="바탕체"/>
          <w:kern w:val="0"/>
          <w:sz w:val="24"/>
          <w:szCs w:val="24"/>
        </w:rPr>
        <w:t xml:space="preserve">로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냉각될때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까지는 2s</w:t>
      </w:r>
      <w:r w:rsidRPr="006E1913">
        <w:rPr>
          <w:rFonts w:ascii="바탕체" w:eastAsia="바탕체"/>
          <w:kern w:val="0"/>
          <w:sz w:val="24"/>
          <w:szCs w:val="24"/>
          <w:vertAlign w:val="superscript"/>
        </w:rPr>
        <w:t>-1</w:t>
      </w:r>
      <w:r w:rsidRPr="006E1913">
        <w:rPr>
          <w:rFonts w:ascii="바탕체" w:eastAsia="바탕체"/>
          <w:kern w:val="0"/>
          <w:sz w:val="24"/>
          <w:szCs w:val="24"/>
        </w:rPr>
        <w:t xml:space="preserve"> 이하의 성형속도로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열간단조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프레스하며, 1050</w:t>
      </w:r>
      <w:r w:rsidRPr="006E1913">
        <w:rPr>
          <w:rFonts w:ascii="바탕체" w:eastAsia="바탕체"/>
          <w:kern w:val="0"/>
          <w:sz w:val="24"/>
          <w:szCs w:val="24"/>
        </w:rPr>
        <w:t>℃</w:t>
      </w:r>
      <w:r w:rsidRPr="006E1913">
        <w:rPr>
          <w:rFonts w:ascii="바탕체" w:eastAsia="바탕체"/>
          <w:kern w:val="0"/>
          <w:sz w:val="24"/>
          <w:szCs w:val="24"/>
        </w:rPr>
        <w:t xml:space="preserve">로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냉각될때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까지는 1s</w:t>
      </w:r>
      <w:r w:rsidRPr="006E1913">
        <w:rPr>
          <w:rFonts w:ascii="바탕체" w:eastAsia="바탕체"/>
          <w:kern w:val="0"/>
          <w:sz w:val="24"/>
          <w:szCs w:val="24"/>
          <w:vertAlign w:val="superscript"/>
        </w:rPr>
        <w:t>-1</w:t>
      </w:r>
      <w:r w:rsidRPr="006E1913">
        <w:rPr>
          <w:rFonts w:ascii="바탕체" w:eastAsia="바탕체"/>
          <w:kern w:val="0"/>
          <w:sz w:val="24"/>
          <w:szCs w:val="24"/>
        </w:rPr>
        <w:t xml:space="preserve"> 이하의 성형속도로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열간단조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프레스하는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것을 특징으로 한다.</w:t>
      </w:r>
    </w:p>
    <w:p w:rsidR="0032198D" w:rsidRPr="00C70A08" w:rsidRDefault="0032198D" w:rsidP="0032198D">
      <w:pPr>
        <w:wordWrap/>
        <w:adjustRightInd w:val="0"/>
        <w:spacing w:after="0" w:line="672" w:lineRule="auto"/>
        <w:ind w:firstLine="800"/>
        <w:jc w:val="left"/>
        <w:rPr>
          <w:rFonts w:ascii="바탕체" w:eastAsia="바탕체"/>
          <w:kern w:val="0"/>
          <w:sz w:val="24"/>
          <w:szCs w:val="24"/>
        </w:rPr>
      </w:pPr>
      <w:r w:rsidRPr="006E1913">
        <w:rPr>
          <w:rFonts w:ascii="바탕체" w:eastAsia="바탕체"/>
          <w:kern w:val="0"/>
          <w:sz w:val="24"/>
          <w:szCs w:val="24"/>
        </w:rPr>
        <w:t xml:space="preserve">본 발명에 따르면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난가공성의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2507급 슈퍼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듀플렉스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스테인레스강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주조재를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효율적으로 프레싱함으로써 </w:t>
      </w:r>
      <w:proofErr w:type="spellStart"/>
      <w:r w:rsidRPr="006E1913">
        <w:rPr>
          <w:rFonts w:ascii="바탕체" w:eastAsia="바탕체"/>
          <w:kern w:val="0"/>
          <w:sz w:val="24"/>
          <w:szCs w:val="24"/>
        </w:rPr>
        <w:t>열간단조시에</w:t>
      </w:r>
      <w:proofErr w:type="spellEnd"/>
      <w:r w:rsidRPr="006E1913">
        <w:rPr>
          <w:rFonts w:ascii="바탕체" w:eastAsia="바탕체"/>
          <w:kern w:val="0"/>
          <w:sz w:val="24"/>
          <w:szCs w:val="24"/>
        </w:rPr>
        <w:t xml:space="preserve"> 성형결함을 최소화할 수 있을 뿐만 아니라 우수한 미세조직을 갖는 성형부품을 제조할 수 있다.</w:t>
      </w:r>
    </w:p>
    <w:p w:rsidR="00DC179C" w:rsidRDefault="00BB2589" w:rsidP="0032198D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lastRenderedPageBreak/>
        <w:t>【도면】</w:t>
      </w:r>
    </w:p>
    <w:p w:rsidR="00B84E2B" w:rsidRDefault="00B84E2B" w:rsidP="00B84E2B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【도</w:t>
      </w:r>
      <w:r>
        <w:rPr>
          <w:rFonts w:ascii="바탕체"/>
          <w:sz w:val="24"/>
        </w:rPr>
        <w:t xml:space="preserve"> 1</w:t>
      </w:r>
      <w:r>
        <w:rPr>
          <w:rFonts w:ascii="바탕체"/>
          <w:sz w:val="24"/>
        </w:rPr>
        <w:t>】</w:t>
      </w:r>
    </w:p>
    <w:p w:rsidR="00B84E2B" w:rsidRDefault="009E3F1F" w:rsidP="00B84E2B">
      <w:pPr>
        <w:pStyle w:val="a3"/>
        <w:wordWrap/>
        <w:spacing w:line="672" w:lineRule="auto"/>
        <w:jc w:val="left"/>
      </w:pPr>
      <w:r>
        <w:rPr>
          <w:noProof/>
        </w:rPr>
        <w:drawing>
          <wp:inline distT="0" distB="0" distL="0" distR="0">
            <wp:extent cx="2781300" cy="2638425"/>
            <wp:effectExtent l="0" t="0" r="0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2B" w:rsidRDefault="00B84E2B" w:rsidP="00B84E2B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【도</w:t>
      </w:r>
      <w:r>
        <w:rPr>
          <w:rFonts w:ascii="바탕체"/>
          <w:sz w:val="24"/>
        </w:rPr>
        <w:t xml:space="preserve"> </w:t>
      </w:r>
      <w:r>
        <w:rPr>
          <w:rFonts w:ascii="바탕체" w:hint="eastAsia"/>
          <w:sz w:val="24"/>
        </w:rPr>
        <w:t>2</w:t>
      </w:r>
      <w:r>
        <w:rPr>
          <w:rFonts w:ascii="바탕체"/>
          <w:sz w:val="24"/>
        </w:rPr>
        <w:t>】</w:t>
      </w:r>
    </w:p>
    <w:p w:rsidR="00B84E2B" w:rsidRDefault="009E3F1F" w:rsidP="00B84E2B">
      <w:pPr>
        <w:pStyle w:val="a3"/>
        <w:wordWrap/>
        <w:spacing w:line="672" w:lineRule="auto"/>
        <w:jc w:val="left"/>
      </w:pPr>
      <w:r>
        <w:rPr>
          <w:noProof/>
        </w:rPr>
        <w:drawing>
          <wp:inline distT="0" distB="0" distL="0" distR="0">
            <wp:extent cx="2952381" cy="2761905"/>
            <wp:effectExtent l="0" t="0" r="635" b="63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81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2B" w:rsidRDefault="00B84E2B" w:rsidP="00B84E2B">
      <w:pPr>
        <w:pStyle w:val="a3"/>
        <w:wordWrap/>
        <w:spacing w:line="672" w:lineRule="auto"/>
        <w:jc w:val="left"/>
        <w:rPr>
          <w:rFonts w:ascii="바탕체"/>
          <w:sz w:val="24"/>
        </w:rPr>
      </w:pPr>
      <w:r>
        <w:rPr>
          <w:rFonts w:ascii="바탕체" w:eastAsia="바탕체"/>
          <w:sz w:val="24"/>
        </w:rPr>
        <w:t>【도</w:t>
      </w:r>
      <w:r>
        <w:rPr>
          <w:rFonts w:ascii="바탕체"/>
          <w:sz w:val="24"/>
        </w:rPr>
        <w:t xml:space="preserve"> </w:t>
      </w:r>
      <w:r>
        <w:rPr>
          <w:rFonts w:ascii="바탕체" w:hint="eastAsia"/>
          <w:sz w:val="24"/>
        </w:rPr>
        <w:t>3</w:t>
      </w:r>
      <w:r>
        <w:rPr>
          <w:rFonts w:ascii="바탕체"/>
          <w:sz w:val="24"/>
        </w:rPr>
        <w:t>】</w:t>
      </w:r>
    </w:p>
    <w:p w:rsidR="00B84E2B" w:rsidRDefault="009E3F1F" w:rsidP="00B84E2B">
      <w:pPr>
        <w:pStyle w:val="a3"/>
        <w:wordWrap/>
        <w:spacing w:line="672" w:lineRule="auto"/>
        <w:jc w:val="left"/>
      </w:pPr>
      <w:r>
        <w:rPr>
          <w:noProof/>
        </w:rPr>
        <w:lastRenderedPageBreak/>
        <w:drawing>
          <wp:inline distT="0" distB="0" distL="0" distR="0">
            <wp:extent cx="2857143" cy="2209524"/>
            <wp:effectExtent l="0" t="0" r="635" b="63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2B" w:rsidRDefault="00B84E2B" w:rsidP="00B84E2B">
      <w:pPr>
        <w:pStyle w:val="a3"/>
        <w:wordWrap/>
        <w:spacing w:line="672" w:lineRule="auto"/>
        <w:jc w:val="left"/>
        <w:rPr>
          <w:rFonts w:ascii="바탕체"/>
          <w:sz w:val="24"/>
        </w:rPr>
      </w:pPr>
      <w:r>
        <w:rPr>
          <w:rFonts w:ascii="바탕체" w:eastAsia="바탕체"/>
          <w:sz w:val="24"/>
        </w:rPr>
        <w:t>【도</w:t>
      </w:r>
      <w:r>
        <w:rPr>
          <w:rFonts w:ascii="바탕체"/>
          <w:sz w:val="24"/>
        </w:rPr>
        <w:t xml:space="preserve"> </w:t>
      </w:r>
      <w:r>
        <w:rPr>
          <w:rFonts w:ascii="바탕체" w:hint="eastAsia"/>
          <w:sz w:val="24"/>
        </w:rPr>
        <w:t>4</w:t>
      </w:r>
      <w:r>
        <w:rPr>
          <w:rFonts w:ascii="바탕체"/>
          <w:sz w:val="24"/>
        </w:rPr>
        <w:t>】</w:t>
      </w:r>
    </w:p>
    <w:p w:rsidR="00B84E2B" w:rsidRDefault="009E3F1F" w:rsidP="00B84E2B">
      <w:pPr>
        <w:pStyle w:val="a3"/>
        <w:wordWrap/>
        <w:spacing w:line="672" w:lineRule="auto"/>
        <w:jc w:val="left"/>
      </w:pPr>
      <w:r>
        <w:rPr>
          <w:noProof/>
        </w:rPr>
        <w:drawing>
          <wp:inline distT="0" distB="0" distL="0" distR="0">
            <wp:extent cx="2200000" cy="2866667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2B" w:rsidRDefault="00B84E2B" w:rsidP="00B84E2B">
      <w:pPr>
        <w:pStyle w:val="a3"/>
        <w:wordWrap/>
        <w:spacing w:line="672" w:lineRule="auto"/>
        <w:jc w:val="left"/>
      </w:pPr>
      <w:r>
        <w:rPr>
          <w:rFonts w:ascii="바탕체" w:eastAsia="바탕체"/>
          <w:sz w:val="24"/>
        </w:rPr>
        <w:t>【도</w:t>
      </w:r>
      <w:r>
        <w:rPr>
          <w:rFonts w:ascii="바탕체"/>
          <w:sz w:val="24"/>
        </w:rPr>
        <w:t xml:space="preserve"> </w:t>
      </w:r>
      <w:r>
        <w:rPr>
          <w:rFonts w:ascii="바탕체" w:hint="eastAsia"/>
          <w:sz w:val="24"/>
        </w:rPr>
        <w:t>5</w:t>
      </w:r>
      <w:r>
        <w:rPr>
          <w:rFonts w:ascii="바탕체"/>
          <w:sz w:val="24"/>
        </w:rPr>
        <w:t>】</w:t>
      </w:r>
    </w:p>
    <w:p w:rsidR="00DC179C" w:rsidRDefault="009E3F1F" w:rsidP="00B84E2B">
      <w:pPr>
        <w:pStyle w:val="a3"/>
        <w:wordWrap/>
        <w:spacing w:line="672" w:lineRule="auto"/>
        <w:jc w:val="lef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200000" cy="2866667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79C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FF" w:rsidRDefault="007505FF" w:rsidP="00995563">
      <w:pPr>
        <w:spacing w:after="0" w:line="240" w:lineRule="auto"/>
      </w:pPr>
      <w:r>
        <w:separator/>
      </w:r>
    </w:p>
  </w:endnote>
  <w:endnote w:type="continuationSeparator" w:id="0">
    <w:p w:rsidR="007505FF" w:rsidRDefault="007505FF" w:rsidP="009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FF" w:rsidRDefault="007505FF" w:rsidP="00995563">
      <w:pPr>
        <w:spacing w:after="0" w:line="240" w:lineRule="auto"/>
      </w:pPr>
      <w:r>
        <w:separator/>
      </w:r>
    </w:p>
  </w:footnote>
  <w:footnote w:type="continuationSeparator" w:id="0">
    <w:p w:rsidR="007505FF" w:rsidRDefault="007505FF" w:rsidP="0099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2102C0"/>
    <w:rsid w:val="002E3C54"/>
    <w:rsid w:val="0032198D"/>
    <w:rsid w:val="004A68FB"/>
    <w:rsid w:val="00644CA8"/>
    <w:rsid w:val="006B05F3"/>
    <w:rsid w:val="006D0138"/>
    <w:rsid w:val="007505FF"/>
    <w:rsid w:val="007E58C9"/>
    <w:rsid w:val="007F3C13"/>
    <w:rsid w:val="00877418"/>
    <w:rsid w:val="00941387"/>
    <w:rsid w:val="00995563"/>
    <w:rsid w:val="009E3F1F"/>
    <w:rsid w:val="00B11396"/>
    <w:rsid w:val="00B84E2B"/>
    <w:rsid w:val="00BB2589"/>
    <w:rsid w:val="00BE391C"/>
    <w:rsid w:val="00D854CC"/>
    <w:rsid w:val="00DC179C"/>
    <w:rsid w:val="00E75FD5"/>
    <w:rsid w:val="00F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  <w:style w:type="paragraph" w:styleId="ac">
    <w:name w:val="Balloon Text"/>
    <w:basedOn w:val="a"/>
    <w:link w:val="Char1"/>
    <w:uiPriority w:val="99"/>
    <w:semiHidden/>
    <w:unhideWhenUsed/>
    <w:rsid w:val="003219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3219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  <w:style w:type="paragraph" w:styleId="ac">
    <w:name w:val="Balloon Text"/>
    <w:basedOn w:val="a"/>
    <w:link w:val="Char1"/>
    <w:uiPriority w:val="99"/>
    <w:semiHidden/>
    <w:unhideWhenUsed/>
    <w:rsid w:val="003219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321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12</cp:revision>
  <dcterms:created xsi:type="dcterms:W3CDTF">2018-06-26T11:46:00Z</dcterms:created>
  <dcterms:modified xsi:type="dcterms:W3CDTF">2018-06-29T04:28:00Z</dcterms:modified>
</cp:coreProperties>
</file>